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B3" w:rsidRPr="00B11BB3" w:rsidRDefault="00B11BB3" w:rsidP="00B11BB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i/>
          <w:color w:val="000000"/>
          <w:sz w:val="28"/>
          <w:lang w:val="hy-AM"/>
        </w:rPr>
      </w:pP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>Приложение № 1</w:t>
      </w:r>
      <w:r>
        <w:rPr>
          <w:rFonts w:ascii="GHEA Grapalat" w:eastAsia="Times New Roman" w:hAnsi="GHEA Grapalat" w:cs="Times New Roman"/>
          <w:b/>
          <w:i/>
          <w:color w:val="000000"/>
          <w:sz w:val="28"/>
          <w:lang w:val="hy-AM"/>
        </w:rPr>
        <w:t>,1</w:t>
      </w:r>
      <w:bookmarkStart w:id="0" w:name="_GoBack"/>
      <w:bookmarkEnd w:id="0"/>
    </w:p>
    <w:p w:rsidR="00B11BB3" w:rsidRDefault="00B11BB3" w:rsidP="00B11BB3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b/>
          <w:i/>
          <w:color w:val="000000"/>
          <w:sz w:val="28"/>
          <w:lang w:val="hy-AM"/>
        </w:rPr>
      </w:pP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 xml:space="preserve">к Договору под кодом   </w:t>
      </w: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>N ՀՀ-ԱՄ-ԱՀ-ԷԱՃԾՁԲ-58/26</w:t>
      </w:r>
    </w:p>
    <w:p w:rsidR="00B11BB3" w:rsidRPr="00B11BB3" w:rsidRDefault="00B11BB3" w:rsidP="00B11BB3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b/>
          <w:i/>
          <w:sz w:val="28"/>
          <w:lang w:val="ru-RU"/>
        </w:rPr>
      </w:pP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>заключенному "___"</w:t>
      </w: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ab/>
        <w:t>_______20</w:t>
      </w:r>
      <w:r>
        <w:rPr>
          <w:rFonts w:ascii="GHEA Grapalat" w:eastAsia="Times New Roman" w:hAnsi="GHEA Grapalat" w:cs="Times New Roman"/>
          <w:b/>
          <w:i/>
          <w:color w:val="000000"/>
          <w:sz w:val="28"/>
          <w:lang w:val="hy-AM"/>
        </w:rPr>
        <w:t>26</w:t>
      </w:r>
      <w:r w:rsidRPr="00B11BB3">
        <w:rPr>
          <w:rFonts w:ascii="GHEA Grapalat" w:eastAsia="Times New Roman" w:hAnsi="GHEA Grapalat" w:cs="Times New Roman"/>
          <w:b/>
          <w:i/>
          <w:color w:val="000000"/>
          <w:sz w:val="28"/>
          <w:lang w:val="ru-RU"/>
        </w:rPr>
        <w:t>г.</w:t>
      </w:r>
    </w:p>
    <w:p w:rsidR="00B11BB3" w:rsidRPr="00B11BB3" w:rsidRDefault="00B11BB3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</w:p>
    <w:p w:rsidR="00B11BB3" w:rsidRDefault="00B11BB3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</w:p>
    <w:p w:rsidR="00B11BB3" w:rsidRDefault="00B11BB3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</w:p>
    <w:p w:rsidR="00B11BB3" w:rsidRDefault="00B11BB3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</w:p>
    <w:p w:rsidR="00CC4E12" w:rsidRPr="00CC4E12" w:rsidRDefault="00CC4E12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ТЕХНИЧЕСКАЯ ХАРАКТЕРИСТИКА</w:t>
      </w:r>
    </w:p>
    <w:p w:rsidR="00CC4E12" w:rsidRPr="00CC4E12" w:rsidRDefault="00CC4E12" w:rsidP="00CC4E12">
      <w:pPr>
        <w:spacing w:after="0" w:line="240" w:lineRule="auto"/>
        <w:ind w:left="990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ОБЪЕМ УСЛУГ ВНУТРЕННЕГО АУДИТА</w:t>
      </w:r>
    </w:p>
    <w:p w:rsidR="00CC4E12" w:rsidRPr="00CC4E12" w:rsidRDefault="00CC4E12" w:rsidP="00CC4E12">
      <w:pPr>
        <w:spacing w:after="0" w:line="240" w:lineRule="auto"/>
        <w:ind w:left="284" w:firstLine="526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284" w:firstLine="526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Лицо, приглашенное для оказания услуг по внутреннему аудиту (далее именуемое Подрядчиком), должно оценить внутреннюю аудиторскую среду муниципалитета Апарана (далее именуемого Заказчиком) с точки зрения функций финансового управления и контроля, осуществляя виды внутреннего аудита, определенные Законом РА «О внутреннем аудите» и Приказом министра финансов РА № 143-Н от 17 февраля 2012 года (далее именуемый Приказом № 143-Н), которые включают в себя:</w:t>
      </w:r>
    </w:p>
    <w:p w:rsidR="00CC4E12" w:rsidRPr="00CC4E12" w:rsidRDefault="00CC4E12" w:rsidP="00CC4E12">
      <w:pPr>
        <w:numPr>
          <w:ilvl w:val="0"/>
          <w:numId w:val="2"/>
        </w:numPr>
        <w:spacing w:after="0" w:line="240" w:lineRule="auto"/>
        <w:ind w:left="993" w:hanging="284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Обеспечение гарантий (аудит соответствия, аудит эффективности, сочетание видов аудита соответствия и аудита эффективности),</w:t>
      </w:r>
    </w:p>
    <w:p w:rsidR="00CC4E12" w:rsidRPr="00CC4E12" w:rsidRDefault="00CC4E12" w:rsidP="00CC4E12">
      <w:pPr>
        <w:numPr>
          <w:ilvl w:val="0"/>
          <w:numId w:val="2"/>
        </w:numPr>
        <w:spacing w:after="0" w:line="240" w:lineRule="auto"/>
        <w:ind w:left="993" w:hanging="284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Консалтинг.</w:t>
      </w:r>
    </w:p>
    <w:p w:rsidR="00CC4E12" w:rsidRPr="00CC4E12" w:rsidRDefault="00CC4E12" w:rsidP="00CC4E12">
      <w:pPr>
        <w:spacing w:after="0" w:line="240" w:lineRule="auto"/>
        <w:ind w:left="284" w:firstLine="283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Подрядчик обязан оказывать помощь руководству в принятии мер по достижению целей организации и управлению потенциальными рисками в этой области путем представления предложений в соответствии с правовыми актами, перечисленными в данной технической спецификации.</w:t>
      </w:r>
    </w:p>
    <w:p w:rsidR="00CC4E12" w:rsidRPr="00CC4E12" w:rsidRDefault="00CC4E12" w:rsidP="00CC4E12">
      <w:pPr>
        <w:spacing w:after="0" w:line="240" w:lineRule="auto"/>
        <w:ind w:left="284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ab/>
        <w:t>Внутренний аудит — это независимая, объективная функция обеспечения гарантий и консультирования, направленная на улучшение деятельности организации и охватывающая все функции, связанные с деятельностью организации и ее результатами, то есть всю систему внутреннего контроля организации, включая все функции, ресурсы, услуги, процессы, программы и вопросы, возникающие из иных правовых отношений, для целей которой Исполнитель обязан: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Проведите исследование системы внутреннего аудита организации.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Опишите области проведения внутреннего аудита, специфику участия проверяемых подразделений, а также оказываемую поддержку.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Предоставьте руководству организации надлежащую оценку адекватности, надежности и эффективности системы внутреннего контроля организации.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Оценить системы финансового управления и контроля — совокупность правил (политик), процедур и действий, установленных руководством организации.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Оказывать содействие организации в эффективном достижении ее целей посредством систематической и систематической оценки и совершенствования процессов управления, </w:t>
      </w: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системы внутреннего контроля и процессов управления рисками (идентификация, оценка и контроль рисков).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Обеспечить руководителю организации (далее именуемому Руководителем) и комитету внутреннего аудита надлежащее выполнение руководителями подразделений организации своих обязанностей (внедрение и поддержание систем внутреннего контроля, управления рисками и управленческих процессов).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Оказывать содействие организации в обеспечении подотчетности перед всем сообществом путем оценки соблюдения ею требований, изложенных в законах и других правовых актах, а также полезности и эффективности выполняемых функций.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Предоставить надзорным органам объективное заключение о достоверности и обоснованности финансовых и других отчетов о результатах деятельности, представленных Управляющим.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Оказывать помощь руководителю в достижении его/ее целей путем совершенствования систем и услуг организации.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Для снижения вероятности мошенничества, растрат и других злоупотреблений, связанных с его присутствием,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Обеспечьте соответствие действий аудиторов установленному кодексу этики.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Обеспечить постоянное присутствие в организации (за исключением сельских населенных пунктов) как минимум одного сотрудника, ответственного за выполнение всех требований, предусмотренных законодательством о внутреннем аудите.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Обеспечить выполнение прав и обязанностей, установленных Законом «О внутреннем аудите» для отдела аудита, включая руководителя отдела.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Выполнять обязанности секретаря Комитета внутреннего аудита, отчитываться перед руководителем и Комитетом внутреннего аудита и, помимо функций управления деятельностью внутреннего аудита, не выполнять никаких управленческих функций организации.</w:t>
      </w:r>
    </w:p>
    <w:p w:rsidR="00CC4E12" w:rsidRPr="00CC4E12" w:rsidRDefault="00CC4E12" w:rsidP="00CC4E12">
      <w:pPr>
        <w:spacing w:after="0" w:line="240" w:lineRule="auto"/>
        <w:ind w:left="360" w:firstLine="45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Результаты предыдущей аудиторской работы следует учитывать и принимать во внимание в будущей работе.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СРЕДА ВНУТРЕННЕГО АУДИТА</w:t>
      </w: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Исполнитель должен оценить внутреннюю аудиторскую среду организации, которая включает в себя всю систему организации, охватывает все возможные функции, задачи и подлежащие аудиту процессы организации. На этапе организации своей работы исполнитель должен прежде всего четко определить структуру организации и функции структурных элементов, а также их описание: (Функция или процесс — это совокупность последовательных и взаимосвязанных действий, направленных на достижение цели организации, условия их реализации и необходимые ресурсы).</w:t>
      </w: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lastRenderedPageBreak/>
        <w:t>ОБЩИЕ ТРЕБОВАНИЯ К УСЛУГАМ ВНУТРЕННЕГО АУДИТА, ПРЕДОСТАВЛЯЕМЫМ ПОДРЯДЧИКОМ И КОНЕЧНЫМ ЛИЦОМ</w:t>
      </w:r>
    </w:p>
    <w:p w:rsidR="00CC4E12" w:rsidRPr="00CC4E12" w:rsidRDefault="00CC4E12" w:rsidP="00CC4E12">
      <w:pPr>
        <w:spacing w:after="0" w:line="240" w:lineRule="auto"/>
        <w:ind w:left="990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numPr>
          <w:ilvl w:val="1"/>
          <w:numId w:val="1"/>
        </w:num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Описание приобретаемой услуги</w:t>
      </w:r>
    </w:p>
    <w:p w:rsidR="00CC4E12" w:rsidRPr="00CC4E12" w:rsidRDefault="00CC4E12" w:rsidP="00CC4E12">
      <w:pPr>
        <w:numPr>
          <w:ilvl w:val="0"/>
          <w:numId w:val="3"/>
        </w:numPr>
        <w:spacing w:after="0" w:line="240" w:lineRule="auto"/>
        <w:ind w:left="426" w:firstLine="654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С даты вступления Договора в силу Подрядчик обязуется выполнять все мероприятия, предусмотренные законодательством о внутреннем аудите, в такие сроки, которые обеспечат предоставление услуг внутреннего аудита, указанных в настоящих технических условиях и законодательстве о внутреннем аудите, начиная с периода 2024-2025 годов и до окончания срока действия Договора.</w:t>
      </w:r>
    </w:p>
    <w:p w:rsidR="00CC4E12" w:rsidRPr="00CC4E12" w:rsidRDefault="00CC4E12" w:rsidP="00CC4E12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Исполнитель завещания обязан: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Подготовить и представить руководителю на утверждение положения о внутреннем аудите и поправки к ним, которые должны определять положения, подлежащие обязательному внедрению во всей организации, и должны отражать все этапы аудита и вопросы, влияющие на организацию работы внутреннего аудита, а также деятельность, осуществляемую подразделениями, подлежащими внутреннему аудиту.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Проведение эффективного внутреннего аудита, оценка эффективности систем финансового управления и контроля, а также их соответствия следующим условиям: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Выявление, оценка и управление рисками руководством организации, в частности: достоверность оценки рисков, проводимой руководителем, мониторинг рисков, осуществляемый руководителем, и представление результатов, а также решение проблем, связанных с системой управления рисками и контроля, отчеты, представляемые руководителем о случаях превышения допустимых уровней рисков, и ответы руководителей подразделений организации на эти отчеты.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Соблюдение законодательства Республики Армения и других условий, связанных с деятельностью организации (договоры, ведомственные нормативные акты и т. д.),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Экономичные, эффективные и полезные функции.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Надежность и целостность информации.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Надежность защиты активов и ресурсов от потерь, неправомерного использования и повреждений.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Выполнение задач и достижение целей.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Предоставлять,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Уверенность в том, что существующие в организации процессы управления и управления рисками являются/не являются/являются частично адекватными для целей выявления и мониторинга существенных рисков.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Подтверждение того, что внедренные системы внутреннего контроля функционируют эффективно или нет.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Гарантия надежности/ненадежности процессов подотчетности в управлении рисками.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Подтверждение того, что руководитель получает / не получает / получает частично информацию надлежащего качества и достоверности от других должностных лиц организации.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Рекомендации, направленные на совершенствование систем контроля и процедур управления рисками, а также на устранение недостатков, выявленных в системах контроля.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Заключение по контролю за предметными подразделениями.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Заключение по контролю за структурными и отдельными подразделениями организации и системой в целом.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Вывод относительно систем контроля подрядчиков или поставщиков услуг, если эти системы контроля необходимы для достижения целей организации.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Подготовить и представить руководителю и комитету по внутреннему аудиту отчеты, требуемые законодательством о внутреннем аудите.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Периодические отчеты о результатах выполненных аудиторских заданий, которые будут включать в себя описание выполненной работы и причины ее выполнения, все выводы и заключения, сделанные в рамках внутреннего аудита, а также конструктивные предложения, призванные помочь руководителю в улучшении деятельности организации.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Годовой отчет о результатах деятельности внутреннего аудита,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Не реже одного раза в год составляется отчет о реализации программы обеспечения и повышения качества внутреннего аудита, включающий результаты внутренней оценки, необходимые планы действий и результаты их выполнения.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Проведите проверку с целью оценки адекватности, эффективности и своевременности действий, предпринятых руководством проверяемого подразделения для устранения недостатков, выявленных в ходе аудита, а также для определения того, предпринял ли руководитель проверяемого подразделения корректирующие действия или выполнил представленные рекомендации, были ли достигнуты желаемые результаты, или же руководитель и комитет внутреннего аудита приняли на себя риски невыполнения мер, вытекающих из результатов проверки. Результаты проверки должны быть надлежащим образом задокументированы.</w:t>
      </w:r>
    </w:p>
    <w:p w:rsidR="00CC4E12" w:rsidRPr="00CC4E12" w:rsidRDefault="00CC4E12" w:rsidP="00CC4E12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Исполнитель должен уделять особое внимание рекомендациям, в отношении которых руководство приняло на себя остаточный риск, и надлежащим образом документировать эти случаи.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Организуйте надлежащую документацию и хранение рабочих документов.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Разработать и внедрить программу обеспечения и повышения качества внутреннего аудита, которая обеспечит генеральному директору, комитету внутреннего аудита и другим заинтересованным сторонам разумную уверенность в том, что внутренний аудит функционирует эффективно и результативно в соответствии со своим уставом, что, в свою очередь, соответствует Закону о внутреннем аудите, стандартам и кодексам поведения, и что внутренний аудит рассматривается как деятельность, улучшающая функционирование организации.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Сотрудничество отдела внутреннего аудита с другими внутренними и внешними поставщиками услуг по обеспечению достоверности информации.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Исполнитель должен сотрудничать с внутренними поставщиками услуг по обеспечению качества для получения необходимой информации и исключения повторения действий.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 поручению Главы Исполнитель обязан сотрудничать с органами государственного управления, осуществляющими контроль (надзор) за организациями государственного сектора в установленном законом порядке, а также с Счетной палатой Республики Армения в целях оказания им поддержки и предоставления соответствующей информации.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Подрядчик обязан провести внутренний аудит с помощью аудиторских или консультационных услуг.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Аудиторская работа, порученная службам обеспечения качества, выполняется с использованием систематического подхода, посредством аудита соответствия или аудита эффективности, либо комбинации видов аудита соответствия и аудита эффективности.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Аудит соответствия или юридический аудит предназначен для определения соответствия деятельности организации законам, другим правовым актам, а также другим условиям, связанным с деятельностью организации (договоры, ведомственные положения и т. д.). В этом случае акцент делается не только на оценке эффективности различных процессов внутреннего контроля, но и на предоставлении руководству гарантий соответствия деятельности организации законам, другим правовым актам и другим условиям.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Аудит эффективности предназначен для оценки процессов с точки зрения экономичности, эффективности и результативности. Аудит эффективности рассматривает предоставление услуги с точки зрения этих трех характеристик. Он также может включать сравнение услуг с услугами, предоставляемыми аналогичными организациями, с точки зрения качества и стоимости. К типам аудитов, которые сочетают в себе аудит соответствия и аудит эффективности, относятся системный аудит, финансовый аудит, аудит информационных технологий и другие виды аудита.</w:t>
      </w:r>
    </w:p>
    <w:p w:rsidR="00CC4E12" w:rsidRPr="00CC4E12" w:rsidRDefault="00CC4E12" w:rsidP="00CC4E12">
      <w:pPr>
        <w:spacing w:after="0" w:line="240" w:lineRule="auto"/>
        <w:ind w:left="144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4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ОБЩИЕ ТРЕБОВАНИЯ К ПОСТАВЩИКУ УСЛУГ ВНУТРЕННЕГО АУДИТА</w:t>
      </w:r>
    </w:p>
    <w:p w:rsidR="00CC4E12" w:rsidRPr="00CC4E12" w:rsidRDefault="00CC4E12" w:rsidP="00CC4E12">
      <w:pPr>
        <w:spacing w:after="0" w:line="240" w:lineRule="auto"/>
        <w:ind w:left="54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а) Исполнитель должен быть включен в список организаций, имеющих право проводить внутренние аудиты в государственном секторе, который ведет уполномоченный орган.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b) Аудиторы, привлекаемые Подрядчиком для оказания услуг, предусмотренных настоящей технической спецификацией, должны иметь квалификацию внутреннего аудитора государственного сектора Республики Армения, не менее 3 лет профессионального опыта в области аудита (внутреннего и/или внешнего) и не должны одновременно работать в других организациях, предоставляющих услуги внутреннего и/или внешнего аудита, или работать внутренним аудитором в других организациях.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c) После составления годового плана внутреннего аудита и расчета необходимого количества персонала Подрядчик, при необходимости, может привлечь дополнительные трудовые ресурсы, отвечающие критериям, указанным в пункте b). Для этого Подрядчик должен располагать достаточным количеством персонала, отвечающего критериям, указанным в пункте b), рассчитанным в порядке, установленном законодательством о внутреннем аудите, для надлежащего выполнения стратегических и годовых планов, составленных на основе результатов оценки рисков элементов среды внутреннего аудита организации государственного сектора.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Исполнитель обязан выполнять работу по внутреннему аудиту в соответствии с требованиями законодательства Республики Армения о внутреннем аудите и профессиональных стандартов внутреннего аудита Республики Армения, а также соблюдать кодекс этики внутреннего аудитора.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5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ГРАФИК ЗАКУПКИ УСЛУГ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ind w:left="709" w:firstLine="284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Услуга предоставляется с момента вступления договора в силу до 25 декабря 2026 года.</w:t>
      </w:r>
    </w:p>
    <w:p w:rsidR="00CC4E12" w:rsidRPr="00CC4E12" w:rsidRDefault="00CC4E12" w:rsidP="00CC4E12">
      <w:pPr>
        <w:spacing w:after="0" w:line="240" w:lineRule="auto"/>
        <w:ind w:left="709" w:firstLine="284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6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 КВИТАНЦИЯ ОБ ОКАЗАНИИ УСЛУГ И ГРАФИК ОПЛАТЫ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Для принятия исполнения контракта, вместе с каждым протоколом передачи-приемки, Подрядчик должен представить отчет об оказанной услуге за отчетный период, указав наименование поставщика услуг, характер услуги, ее содержание и задокументированный результат.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Отчет обсуждается и утверждается заказчиком или возвращается подрядчику с возражениями в течение 10 рабочих дней с момента его получения. Отчет утверждается решением руководителя организации, на основании которого руководитель ответственного отдела утверждает протокол передачи-приемки в течение двух рабочих дней с момента его предоставления.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Оплата за оказанные услуги производится каждый раз после утверждения представленного отчета, в месяце, указанном в графике платежей, предусмотренном в договоре.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В рамках данной технической спецификации отчетным периодом считается период, охватывающий 2024-2025 годы.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7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РАБОЧИЕ РЕСУРСЫ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Для подтверждения наличия трудовых ресурсов выбранный участник предоставляет письменное заверение, подписанное соответствующим работодателем, о наличии гарантии, а также заявление об отсутствии ограничений, предусмотренных в части 4 статьи 9 Закона «О внутреннем аудите».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Участник подает вместе с заявкой заявление о наличии необходимых трудовых ресурсов для выполнения заключаемого контракта.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8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ПРОЧАЯ ИНФОРМАЦИЯ</w:t>
      </w: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Cambria Math"/>
          <w:sz w:val="24"/>
          <w:szCs w:val="24"/>
          <w:lang w:val="hy-AM"/>
        </w:rPr>
      </w:pP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Cambria Math"/>
          <w:sz w:val="24"/>
          <w:szCs w:val="24"/>
          <w:lang w:val="hy-AM"/>
        </w:rPr>
        <w:t>10</w:t>
      </w:r>
      <w:r w:rsidRPr="00CC4E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1. Все расходы, связанные с проведением внутреннего аудита (командировки и т. д.), включены в стоимость услуги по договору.</w:t>
      </w: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Cambria Math"/>
          <w:sz w:val="24"/>
          <w:szCs w:val="24"/>
          <w:lang w:val="hy-AM"/>
        </w:rPr>
        <w:t>10</w:t>
      </w:r>
      <w:r w:rsidRPr="00CC4E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2. Отношения, связанные с внутренним аудитом, регулируются, в частности, следующими правовыми актами: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</w:rPr>
        <w:t>Закон «О внутреннем аудите»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Постановление Правительства Республики Армения № 1233-Н от 11.08.2011.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08.12.2011 № 974-Н.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17.02.2012 № 143-Н.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23.02.2012 № 165-Н.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Постановление Правительства Республики Армения № 732-Н от 31.05.2012.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30.11.2012 № 1050-Н.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12.12.2012 № 1096-Н.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Постановление Правительства Республики Армения № 896-Н от 08.08.2013.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Постановление Правительства Республики Армения № 176-Н от 13.02.2014.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Приказ министра финансов Республики Армения от 21.08.2014 № 541-Н.</w:t>
      </w: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                      </w:t>
      </w: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</w:p>
    <w:p w:rsid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  <w:r w:rsidRPr="00CC4E12"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  <w:t>СПИСОК ПРОВЕРЕННЫХ ПОДРАЗДЕЛЕНИЙ</w:t>
      </w:r>
    </w:p>
    <w:p w:rsid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tbl>
      <w:tblPr>
        <w:tblStyle w:val="TableNormal"/>
        <w:tblW w:w="11758" w:type="dxa"/>
        <w:tblInd w:w="-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3"/>
        <w:gridCol w:w="3585"/>
        <w:gridCol w:w="2258"/>
        <w:gridCol w:w="1984"/>
        <w:gridCol w:w="2005"/>
        <w:gridCol w:w="1143"/>
      </w:tblGrid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spacing w:before="11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Н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Название подразделения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</w:rPr>
              <w:t>Период, подлежащий аудиту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</w:rPr>
              <w:t>Количество членов аудиторской группы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Количество запланированных рабочих дней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Количество человеко-дней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37685C">
            <w:pPr>
              <w:spacing w:before="11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1.</w:t>
            </w:r>
          </w:p>
        </w:tc>
        <w:tc>
          <w:tcPr>
            <w:tcW w:w="3696" w:type="dxa"/>
          </w:tcPr>
          <w:p w:rsidR="00CC4E12" w:rsidRPr="00CC4E12" w:rsidRDefault="00CC4E12" w:rsidP="0037685C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Социальный центр Апаран, НКО</w:t>
            </w:r>
          </w:p>
        </w:tc>
        <w:tc>
          <w:tcPr>
            <w:tcW w:w="2319" w:type="dxa"/>
          </w:tcPr>
          <w:p w:rsidR="00CC4E12" w:rsidRPr="00CC4E12" w:rsidRDefault="00CC4E12" w:rsidP="0037685C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</w:t>
            </w:r>
          </w:p>
        </w:tc>
        <w:tc>
          <w:tcPr>
            <w:tcW w:w="2032" w:type="dxa"/>
          </w:tcPr>
          <w:p w:rsidR="00CC4E12" w:rsidRPr="00CC4E12" w:rsidRDefault="00CC4E12" w:rsidP="0037685C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37685C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7</w:t>
            </w:r>
          </w:p>
        </w:tc>
        <w:tc>
          <w:tcPr>
            <w:tcW w:w="885" w:type="dxa"/>
          </w:tcPr>
          <w:p w:rsidR="00CC4E12" w:rsidRPr="00CC4E12" w:rsidRDefault="00CC4E12" w:rsidP="0037685C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21</w:t>
            </w:r>
          </w:p>
        </w:tc>
      </w:tr>
      <w:tr w:rsidR="00CC4E12" w:rsidRPr="00CC4E12" w:rsidTr="00CC4E12">
        <w:trPr>
          <w:trHeight w:val="950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2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310" w:lineRule="atLeas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Департамент финансов и экономики муниципалитета Апаран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28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3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3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Сотрудники муниципалитета Апаран, отдел KMSAE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before="1" w:line="293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5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before="1" w:line="293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15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4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6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Сотрудники Департамента городского развития и землеустройства муниципалитета Апаран.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59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5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Сотрудники отдела учета и сбора доходов муниципалитета Апарана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before="1"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8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before="1"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24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68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6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 xml:space="preserve">Сотрудники Департамента охраны окружающей среды муниципалитета </w:t>
            </w: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lastRenderedPageBreak/>
              <w:t>Апаран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lastRenderedPageBreak/>
              <w:t>2024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7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21</w:t>
            </w:r>
          </w:p>
        </w:tc>
      </w:tr>
      <w:tr w:rsidR="00CC4E12" w:rsidRPr="00CC4E12" w:rsidTr="00CC4E12">
        <w:trPr>
          <w:trHeight w:val="1262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Сотрудники Департамента сельского хозяйства, охраны окружающей среды и коммунального хозяйства муниципалитета Апаран.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1262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8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Некоммерческая спортивная школа Апарана, входящая в состав общины Апарана.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557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9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Апаранский общественный детский сад №2 НПО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551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10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Некоммерческая организация «Общественный детский сад Апаран № 1».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418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11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Общественная художественная школа Апаран (NCO)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439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12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Апаранская община Кучакский детский сад НПО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03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13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Хартаванский детский сад Апаранской общины, НПО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</w:tbl>
    <w:p w:rsidR="00CC4E12" w:rsidRPr="00CC4E12" w:rsidRDefault="00CC4E12" w:rsidP="00CC4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493AD8" w:rsidRDefault="00493AD8">
      <w:pPr>
        <w:rPr>
          <w:lang w:val="hy-AM"/>
        </w:rPr>
      </w:pPr>
    </w:p>
    <w:p w:rsidR="00CC4E12" w:rsidRDefault="00CC4E12">
      <w:pPr>
        <w:rPr>
          <w:lang w:val="hy-AM"/>
        </w:rPr>
      </w:pPr>
    </w:p>
    <w:p w:rsidR="00CC4E12" w:rsidRDefault="00CC4E12">
      <w:pPr>
        <w:rPr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11BB3" w:rsidRPr="00B11BB3" w:rsidTr="0037685C">
        <w:trPr>
          <w:jc w:val="center"/>
        </w:trPr>
        <w:tc>
          <w:tcPr>
            <w:tcW w:w="4536" w:type="dxa"/>
          </w:tcPr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ЗАКАЗЧИК</w:t>
            </w:r>
          </w:p>
          <w:p w:rsidR="00B11BB3" w:rsidRPr="00B11BB3" w:rsidRDefault="00B11BB3" w:rsidP="00B11B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b/>
                <w:i/>
                <w:sz w:val="20"/>
                <w:szCs w:val="20"/>
                <w:lang w:val="ru-RU" w:eastAsia="ru-RU" w:bidi="ru-RU"/>
              </w:rPr>
              <w:t>Муниципалитет Апаран</w:t>
            </w:r>
          </w:p>
          <w:p w:rsidR="00B11BB3" w:rsidRPr="00B11BB3" w:rsidRDefault="00B11BB3" w:rsidP="00B11B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nb-NO" w:eastAsia="ru-RU" w:bidi="ru-RU"/>
              </w:rPr>
            </w:pPr>
            <w:r w:rsidRPr="00B11BB3">
              <w:rPr>
                <w:rFonts w:ascii="GHEA Grapalat" w:eastAsia="Times New Roman" w:hAnsi="GHEA Grapalat" w:cs="Sylfaen"/>
                <w:i/>
                <w:sz w:val="20"/>
                <w:szCs w:val="20"/>
                <w:lang w:val="nb-NO" w:eastAsia="ru-RU" w:bidi="ru-RU"/>
              </w:rPr>
              <w:t>Адрес: г. В. Апаран, Баграмяна 26</w:t>
            </w:r>
          </w:p>
          <w:p w:rsidR="00B11BB3" w:rsidRPr="00B11BB3" w:rsidRDefault="00B11BB3" w:rsidP="00B11B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nb-NO" w:eastAsia="ru-RU" w:bidi="ru-RU"/>
              </w:rPr>
            </w:pPr>
            <w:r w:rsidRPr="00B11BB3">
              <w:rPr>
                <w:rFonts w:ascii="GHEA Grapalat" w:eastAsia="Times New Roman" w:hAnsi="GHEA Grapalat" w:cs="Sylfaen"/>
                <w:i/>
                <w:sz w:val="20"/>
                <w:szCs w:val="20"/>
                <w:lang w:val="nb-NO" w:eastAsia="ru-RU" w:bidi="ru-RU"/>
              </w:rPr>
              <w:t>УНН:</w:t>
            </w:r>
            <w:r w:rsidRPr="00B11BB3">
              <w:rPr>
                <w:rFonts w:ascii="GHEA Grapalat" w:eastAsia="Times New Roman" w:hAnsi="GHEA Grapalat" w:cs="Times New Roman"/>
                <w:i/>
                <w:sz w:val="20"/>
                <w:szCs w:val="20"/>
                <w:lang w:val="nb-NO" w:eastAsia="ru-RU" w:bidi="ru-RU"/>
              </w:rPr>
              <w:t xml:space="preserve"> </w:t>
            </w:r>
            <w:r w:rsidRPr="00B11BB3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 w:eastAsia="ru-RU" w:bidi="ru-RU"/>
              </w:rPr>
              <w:t>05028552</w:t>
            </w:r>
          </w:p>
          <w:p w:rsidR="00B11BB3" w:rsidRPr="00B11BB3" w:rsidRDefault="00B11BB3" w:rsidP="00B11BB3">
            <w:pPr>
              <w:spacing w:after="0" w:line="240" w:lineRule="auto"/>
              <w:jc w:val="center"/>
              <w:rPr>
                <w:rFonts w:ascii="Calibri" w:eastAsia="Times New Roman" w:hAnsi="Calibri" w:cs="Sylfaen"/>
                <w:i/>
                <w:sz w:val="20"/>
                <w:szCs w:val="20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Sylfaen"/>
                <w:i/>
                <w:sz w:val="20"/>
                <w:szCs w:val="20"/>
                <w:lang w:val="nb-NO" w:eastAsia="ru-RU" w:bidi="ru-RU"/>
              </w:rPr>
              <w:t>Номер счета:</w:t>
            </w:r>
            <w:r w:rsidRPr="00B11BB3">
              <w:rPr>
                <w:rFonts w:ascii="GHEA Grapalat" w:eastAsia="Times New Roman" w:hAnsi="GHEA Grapalat" w:cs="Arial"/>
                <w:b/>
                <w:i/>
                <w:sz w:val="20"/>
                <w:szCs w:val="20"/>
                <w:lang w:val="ru-RU" w:eastAsia="ru-RU" w:bidi="ru-RU"/>
              </w:rPr>
              <w:t xml:space="preserve"> </w:t>
            </w:r>
            <w:r w:rsidRPr="00B11BB3">
              <w:rPr>
                <w:rFonts w:ascii="Helvetica" w:eastAsia="Times New Roman" w:hAnsi="Helvetica" w:cs="Times New Roman"/>
                <w:b/>
                <w:color w:val="333333"/>
                <w:sz w:val="21"/>
                <w:szCs w:val="21"/>
                <w:shd w:val="clear" w:color="auto" w:fill="FFFFFF"/>
                <w:lang w:val="hy-AM" w:eastAsia="ru-RU" w:bidi="ru-RU"/>
              </w:rPr>
              <w:t>900452151039</w:t>
            </w:r>
          </w:p>
          <w:p w:rsidR="00B11BB3" w:rsidRPr="00B11BB3" w:rsidRDefault="00B11BB3" w:rsidP="00B11B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i/>
                <w:sz w:val="20"/>
                <w:szCs w:val="20"/>
                <w:lang w:val="ru-RU" w:eastAsia="ru-RU" w:bidi="ru-RU"/>
              </w:rPr>
              <w:t xml:space="preserve">Оперативный департамент Министерства финансов РА </w:t>
            </w:r>
          </w:p>
          <w:p w:rsidR="00B11BB3" w:rsidRPr="00B11BB3" w:rsidRDefault="00B11BB3" w:rsidP="00B11BB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GHEA Grapalat" w:eastAsia="Times New Roman" w:hAnsi="GHEA Grapalat" w:cs="Sylfaen"/>
                <w:i/>
                <w:sz w:val="20"/>
                <w:szCs w:val="20"/>
                <w:lang w:val="nb-NO" w:eastAsia="ru-RU" w:bidi="ru-RU"/>
              </w:rPr>
            </w:pPr>
            <w:r w:rsidRPr="00B11BB3">
              <w:rPr>
                <w:rFonts w:ascii="GHEA Grapalat" w:eastAsia="Times New Roman" w:hAnsi="GHEA Grapalat" w:cs="Sylfaen"/>
                <w:i/>
                <w:sz w:val="20"/>
                <w:szCs w:val="20"/>
                <w:lang w:val="nb-NO" w:eastAsia="ru-RU" w:bidi="ru-RU"/>
              </w:rPr>
              <w:t>Руководитель: К. Егиазарян</w:t>
            </w:r>
          </w:p>
          <w:p w:rsidR="00B11BB3" w:rsidRPr="00B11BB3" w:rsidRDefault="00B11BB3" w:rsidP="00B11BB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___________________________</w:t>
            </w:r>
          </w:p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  <w:t>/подпись/</w:t>
            </w:r>
          </w:p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  <w:tc>
          <w:tcPr>
            <w:tcW w:w="760" w:type="dxa"/>
          </w:tcPr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343" w:type="dxa"/>
          </w:tcPr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 w:eastAsia="ru-RU" w:bidi="ru-RU"/>
              </w:rPr>
              <w:t>ИСПОЛНИТЕЛЬ</w:t>
            </w:r>
          </w:p>
          <w:p w:rsidR="00B11BB3" w:rsidRPr="00B11BB3" w:rsidRDefault="00B11BB3" w:rsidP="00B11BB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__________________________</w:t>
            </w:r>
          </w:p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ru-RU" w:eastAsia="ru-RU" w:bidi="ru-RU"/>
              </w:rPr>
              <w:t>/подпись/</w:t>
            </w:r>
          </w:p>
          <w:p w:rsidR="00B11BB3" w:rsidRPr="00B11BB3" w:rsidRDefault="00B11BB3" w:rsidP="00B11BB3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B11BB3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М. П.</w:t>
            </w:r>
          </w:p>
        </w:tc>
      </w:tr>
    </w:tbl>
    <w:p w:rsidR="00CC4E12" w:rsidRPr="00CC4E12" w:rsidRDefault="00CC4E12">
      <w:pPr>
        <w:rPr>
          <w:lang w:val="hy-AM"/>
        </w:rPr>
      </w:pPr>
    </w:p>
    <w:sectPr w:rsidR="00CC4E12" w:rsidRPr="00CC4E12" w:rsidSect="00CC4E12">
      <w:pgSz w:w="12240" w:h="15840"/>
      <w:pgMar w:top="1440" w:right="758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7058"/>
    <w:multiLevelType w:val="hybridMultilevel"/>
    <w:tmpl w:val="83C6A8E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3295330C"/>
    <w:multiLevelType w:val="hybridMultilevel"/>
    <w:tmpl w:val="026411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08E5BB8"/>
    <w:multiLevelType w:val="hybridMultilevel"/>
    <w:tmpl w:val="088E7BB2"/>
    <w:lvl w:ilvl="0" w:tplc="CCF8CBC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B63EA"/>
    <w:multiLevelType w:val="hybridMultilevel"/>
    <w:tmpl w:val="BE5080AC"/>
    <w:lvl w:ilvl="0" w:tplc="0409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60E57046"/>
    <w:multiLevelType w:val="multilevel"/>
    <w:tmpl w:val="88407E84"/>
    <w:lvl w:ilvl="0">
      <w:start w:val="1"/>
      <w:numFmt w:val="decimal"/>
      <w:lvlText w:val="%1."/>
      <w:lvlJc w:val="left"/>
      <w:pPr>
        <w:ind w:left="4754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6">
    <w:nsid w:val="64E72D4B"/>
    <w:multiLevelType w:val="hybridMultilevel"/>
    <w:tmpl w:val="871E1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57F08"/>
    <w:multiLevelType w:val="multilevel"/>
    <w:tmpl w:val="88407E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12"/>
    <w:rsid w:val="003024F9"/>
    <w:rsid w:val="00493AD8"/>
    <w:rsid w:val="004C07A6"/>
    <w:rsid w:val="00B11BB3"/>
    <w:rsid w:val="00B661FB"/>
    <w:rsid w:val="00CC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12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0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12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02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2026-07-24T10:27:00Z</dcterms:created>
  <dcterms:modified xsi:type="dcterms:W3CDTF">2026-07-24T14:30:00Z</dcterms:modified>
</cp:coreProperties>
</file>